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Thank you for the opportunity to respond to concerns raised by the Palmetto Family and for your careful review of the legislation. We support a highly regulated program that provides reasonable access for patients and limits abuse. Wherever possible, we have tried to strike a careful balance. While we may disagree on some of the areas you mention, like the Palmetto Family, we would expect that any program enacted in South Carolina should be well under control. </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wanted to respond to some of your comments with our own perspective. In some of these areas, we do not object to clarifying or amending the current language to address concerns. These are written in response to comments the Palmetto Family made available in materials published on March 20. </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S366 does not allow smoking.</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disagree that because state law would allow access to the entire plant, including flower, that the law would accommodate cannabis smoking. At the outset, the measure specifically prohibits smoking cannabis and does not interfere with local laws that prohibit smoking in public or otherwise. </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several reasons the entire plant is included, including the need for some patients to vaporize cannabis – particularly those who require rapid onset of its therapeutic effect, such as those with severe pain or those who suffer from seizure conditions. Other patients consume cannabis in its raw form, which is good for those seeking THC-a, rather than the decarboxylated form that results from heat or many types of processing. </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very often the case that medical cannabis programs that limit access to a very narrow set of processed products tend to struggle to make ends meet. Patients with limited options often turn to the underground market for the products they seek, if they are unavailable through a regulated channel. South Carolina should allow a range of products broad enough so that patients aren’t driven to the illicit market to get products that can help them. </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markets that only offer a limited range of products often come with very high prices for the products that are available. Without insurance companies willing to include medical cannabis purchases in their drug plans, patients must pay out of pocket. More types of products mean generally better prices for patients. </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S366 does not allow impaired driving.</w:t>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legislation prohibits driving while impaired and states that "[n]othing in this article may be construed to prevent the arrest or prosecution of a qualifying patient for reckless driving or driving under the influence of cannabis if probable cause exists; however, the mere presence of cannabis metabolites shall not automatically deem a person under the influence."</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Metabolites refer to compounds contained in cannabis that can show in a person’s blood system for days or even weeks after consumption – long after the effects have worn off – and not active THC, which could be present. Detection of </w:t>
      </w:r>
      <w:r w:rsidDel="00000000" w:rsidR="00000000" w:rsidRPr="00000000">
        <w:rPr>
          <w:rFonts w:ascii="Times New Roman" w:cs="Times New Roman" w:eastAsia="Times New Roman" w:hAnsi="Times New Roman"/>
          <w:i w:val="1"/>
          <w:rtl w:val="0"/>
        </w:rPr>
        <w:t xml:space="preserve">active</w:t>
      </w:r>
      <w:r w:rsidDel="00000000" w:rsidR="00000000" w:rsidRPr="00000000">
        <w:rPr>
          <w:rFonts w:ascii="Times New Roman" w:cs="Times New Roman" w:eastAsia="Times New Roman" w:hAnsi="Times New Roman"/>
          <w:rtl w:val="0"/>
        </w:rPr>
        <w:t xml:space="preserve"> THC, in addition to the indicators law enforcement officers look for in DUI cases, would still be available to law enforcement, as they are in prosecutions in any drug-based DUI claim.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 enforcement, as they do with other drugs, must show that a person was under the influence while driving, and there are several tools with which it can be shown. One is to show impairment using field sobriety tests or other indicators that a person was under the influence of cannabis. In some cases, a Drug Recognition Expert is called in to evaluate a suspect. Currently, there is no test for impairment as there is in an alcohol-based DUI case. Alcohol is unique in how it is detected, and drugs – including prescription drugs – cannot be detected in the same way. This bill recognizes that the measurement of the metabolized form of THC is not an indicator. In fact, the National Highway Traffic Safety Administration, a federal agency which studies impaired driving, has published reports indicating these tests should not be used because they are inaccurate and would unfairly convict individuals who are not impaired. </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 enforcement would have the same resources available to them when considering impairment through OxyContin or other, more harmful drugs. It is through their DUI-detection training and observations, a possible blood draw to show the presence of active THC, or an evaluation by a Drug Recognition Expert, and mostly likely a combination of these things.  </w:t>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the Senate subcommittee hearing, lawmakers expressed interest in providing additional funding to improve impairment testing methods and to offer related training, which we support. </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we should point out that where medical cannabis laws have passed, we generally see a reduction in the number of DUI cases. The studies are not clear on the basis for that reduction, but it is certainly the case that despite fears it could result in more impaired driving, that does not seem to be the case. </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Those who purchase too much would be flagged.</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concern was raised that some may seek to go over the two ounce limit. The seed-to-sale tracking system would allow the state to monitor purchases across multiple locations for each patient. And as indicated below, we would not oppose a separate system to track purchases if needed. </w:t>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noted that those who do go over the limit would continue to face the same penalty they do today. And in addition to strict criminal penalties that apply, individuals who seek to exploit the law would lose their ability to participate in the medical cannabis program. </w:t>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Local control</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government would be able to enact time, manner, and place restrictions, as they do with other lawful businesses. But it is reasonable for patients who wish to be part of a regulatory program to have access no matter where they live in the state, and local communities could not simply close the doors to their patient population. </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Consumption outside a residence</w:t>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concern was raised related to consumption in pubic, or by minors or the homeless. Medical cannabis is used as a rescue medicine for some, and access is important when it is needed. Those who need to stop a seizure would be needlessly homebound by such a restriction out of fear that they might suffer a medical emergency without access to relief. There are not similar limitations with respect to far more dangerous drugs, like opiates, under state law. Smoking in public, which is often the concern, would remain illegal statewide. </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 for out-of-state visitors</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should be a way for patients visiting the state to lawfully obtain medical cannabis, which is illegal to transport across state lines. Those with conditions that qualify under South Carolina’s law and who are out-of-state card holders, should have access – particularly those who are visiting family or loved ones over holidays.</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Areas where we support changes or clarification</w:t>
      </w:r>
    </w:p>
    <w:p w:rsidR="00000000" w:rsidDel="00000000" w:rsidP="00000000" w:rsidRDefault="00000000" w:rsidRPr="00000000" w14:paraId="00000033">
      <w:pPr>
        <w:numPr>
          <w:ilvl w:val="0"/>
          <w:numId w:val="1"/>
        </w:numPr>
        <w:spacing w:line="240" w:lineRule="auto"/>
        <w:ind w:left="720" w:hanging="360"/>
      </w:pPr>
      <w:r w:rsidDel="00000000" w:rsidR="00000000" w:rsidRPr="00000000">
        <w:rPr>
          <w:rFonts w:ascii="Times New Roman" w:cs="Times New Roman" w:eastAsia="Times New Roman" w:hAnsi="Times New Roman"/>
          <w:rtl w:val="0"/>
        </w:rPr>
        <w:t xml:space="preserve">While we believe the prospect of abuse is very limited, we would support a limitation that minors must be accompanied by a parent or guardian to enter a dispensary facility.  </w:t>
      </w:r>
    </w:p>
    <w:p w:rsidR="00000000" w:rsidDel="00000000" w:rsidP="00000000" w:rsidRDefault="00000000" w:rsidRPr="00000000" w14:paraId="00000034">
      <w:pPr>
        <w:numPr>
          <w:ilvl w:val="0"/>
          <w:numId w:val="1"/>
        </w:numPr>
        <w:spacing w:line="240" w:lineRule="auto"/>
        <w:ind w:left="720" w:hanging="360"/>
      </w:pPr>
      <w:r w:rsidDel="00000000" w:rsidR="00000000" w:rsidRPr="00000000">
        <w:rPr>
          <w:rFonts w:ascii="Times New Roman" w:cs="Times New Roman" w:eastAsia="Times New Roman" w:hAnsi="Times New Roman"/>
          <w:rtl w:val="0"/>
        </w:rPr>
        <w:t xml:space="preserve">Devices that are designed for smoking such as bongs, pipes, papers, or similar items should be prohibited in medical cannabis dispensaries, since smoking is not allowed. </w:t>
      </w:r>
    </w:p>
    <w:p w:rsidR="00000000" w:rsidDel="00000000" w:rsidP="00000000" w:rsidRDefault="00000000" w:rsidRPr="00000000" w14:paraId="00000035">
      <w:pPr>
        <w:numPr>
          <w:ilvl w:val="0"/>
          <w:numId w:val="1"/>
        </w:numPr>
        <w:spacing w:line="240" w:lineRule="auto"/>
        <w:ind w:left="720" w:hanging="360"/>
      </w:pPr>
      <w:r w:rsidDel="00000000" w:rsidR="00000000" w:rsidRPr="00000000">
        <w:rPr>
          <w:rFonts w:ascii="Times New Roman" w:cs="Times New Roman" w:eastAsia="Times New Roman" w:hAnsi="Times New Roman"/>
          <w:rtl w:val="0"/>
        </w:rPr>
        <w:t xml:space="preserve">The bill already allows for more evaluation for patients with substance abuse disorders than in most other states, but we would not oppose a requirement that at-risk patients be evaluated.  </w:t>
      </w:r>
    </w:p>
    <w:p w:rsidR="00000000" w:rsidDel="00000000" w:rsidP="00000000" w:rsidRDefault="00000000" w:rsidRPr="00000000" w14:paraId="00000036">
      <w:pPr>
        <w:numPr>
          <w:ilvl w:val="0"/>
          <w:numId w:val="1"/>
        </w:numPr>
        <w:spacing w:line="240" w:lineRule="auto"/>
        <w:ind w:left="720" w:hanging="360"/>
      </w:pPr>
      <w:r w:rsidDel="00000000" w:rsidR="00000000" w:rsidRPr="00000000">
        <w:rPr>
          <w:rFonts w:ascii="Times New Roman" w:cs="Times New Roman" w:eastAsia="Times New Roman" w:hAnsi="Times New Roman"/>
          <w:rtl w:val="0"/>
        </w:rPr>
        <w:t xml:space="preserve">We believe the language currently in the bill would allow patients to be flagged if they attempt to purchase over the limit. However, we would not oppose language making that clearer, or allowing a separate system that could be used to specifically track purchases. </w:t>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 again for the opportunity to review and respond to your concerns! Overall, we believe that a well-regulated system is better than none, and we hope you do as well, even if we disagree on aspects of the measure. We are all far better off when we can engage with each other and address concerns together. </w:t>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Regards,</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Judy Ghanem</w:t>
      </w:r>
    </w:p>
    <w:p w:rsidR="00000000" w:rsidDel="00000000" w:rsidP="00000000" w:rsidRDefault="00000000" w:rsidRPr="00000000" w14:paraId="0000003E">
      <w:pPr>
        <w:rPr/>
      </w:pPr>
      <w:r w:rsidDel="00000000" w:rsidR="00000000" w:rsidRPr="00000000">
        <w:rPr>
          <w:rtl w:val="0"/>
        </w:rPr>
        <w:t xml:space="preserve">Executive Director</w:t>
      </w:r>
    </w:p>
    <w:p w:rsidR="00000000" w:rsidDel="00000000" w:rsidP="00000000" w:rsidRDefault="00000000" w:rsidRPr="00000000" w14:paraId="0000003F">
      <w:pPr>
        <w:rPr/>
      </w:pPr>
      <w:r w:rsidDel="00000000" w:rsidR="00000000" w:rsidRPr="00000000">
        <w:rPr>
          <w:rtl w:val="0"/>
        </w:rPr>
        <w:t xml:space="preserve">judy@compassionatesc.com</w:t>
      </w:r>
      <w:r w:rsidDel="00000000" w:rsidR="00000000" w:rsidRPr="00000000">
        <w:rPr>
          <w:rtl w:val="0"/>
        </w:rPr>
      </w:r>
    </w:p>
    <w:p w:rsidR="00000000" w:rsidDel="00000000" w:rsidP="00000000" w:rsidRDefault="00000000" w:rsidRPr="00000000" w14:paraId="00000040">
      <w:pPr>
        <w:jc w:val="left"/>
        <w:rPr>
          <w:b w:val="1"/>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b w:val="1"/>
        <w:rtl w:val="0"/>
      </w:rPr>
      <w:t xml:space="preserve">1535 Platt Springs Road #3334, West Columbia, SC 29171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drawing>
        <wp:inline distB="114300" distT="114300" distL="114300" distR="114300">
          <wp:extent cx="5091113" cy="1200150"/>
          <wp:effectExtent b="0" l="0" r="0" t="0"/>
          <wp:docPr id="1" name="image1.png"/>
          <a:graphic>
            <a:graphicData uri="http://schemas.openxmlformats.org/drawingml/2006/picture">
              <pic:pic>
                <pic:nvPicPr>
                  <pic:cNvPr id="0" name="image1.png"/>
                  <pic:cNvPicPr preferRelativeResize="0"/>
                </pic:nvPicPr>
                <pic:blipFill>
                  <a:blip r:embed="rId1"/>
                  <a:srcRect b="0" l="-11962" r="11962" t="0"/>
                  <a:stretch>
                    <a:fillRect/>
                  </a:stretch>
                </pic:blipFill>
                <pic:spPr>
                  <a:xfrm>
                    <a:off x="0" y="0"/>
                    <a:ext cx="5091113" cy="1200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